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margin" w:tblpY="1759"/>
        <w:tblW w:w="852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926"/>
        <w:gridCol w:w="900"/>
        <w:gridCol w:w="1512"/>
        <w:gridCol w:w="938"/>
        <w:gridCol w:w="20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522" w:type="dxa"/>
            <w:gridSpan w:val="6"/>
            <w:vAlign w:val="top"/>
          </w:tcPr>
          <w:p>
            <w:pPr>
              <w:spacing w:line="360" w:lineRule="auto"/>
              <w:jc w:val="center"/>
              <w:rPr>
                <w:rFonts w:hint="eastAsia" w:ascii="宋体" w:hAnsi="宋体"/>
                <w:sz w:val="24"/>
              </w:rPr>
            </w:pPr>
            <w:r>
              <w:rPr>
                <w:rFonts w:hint="eastAsia" w:ascii="宋体" w:hAnsi="宋体"/>
                <w:sz w:val="36"/>
                <w:szCs w:val="36"/>
              </w:rPr>
              <w:t>理论学习摘要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242" w:type="dxa"/>
            <w:vAlign w:val="top"/>
          </w:tcPr>
          <w:p>
            <w:pPr>
              <w:spacing w:line="360" w:lineRule="auto"/>
              <w:rPr>
                <w:rFonts w:hint="eastAsia" w:ascii="宋体" w:hAnsi="宋体"/>
                <w:sz w:val="24"/>
              </w:rPr>
            </w:pPr>
            <w:r>
              <w:rPr>
                <w:rFonts w:hint="eastAsia" w:ascii="宋体" w:hAnsi="宋体"/>
                <w:sz w:val="24"/>
              </w:rPr>
              <w:t>学习内容</w:t>
            </w:r>
          </w:p>
        </w:tc>
        <w:tc>
          <w:tcPr>
            <w:tcW w:w="1926" w:type="dxa"/>
            <w:vAlign w:val="top"/>
          </w:tcPr>
          <w:p>
            <w:pPr>
              <w:spacing w:line="360" w:lineRule="auto"/>
              <w:rPr>
                <w:rFonts w:hint="eastAsia" w:ascii="宋体" w:hAnsi="宋体" w:eastAsia="宋体"/>
                <w:sz w:val="24"/>
                <w:lang w:eastAsia="zh-CN"/>
              </w:rPr>
            </w:pPr>
            <w:r>
              <w:rPr>
                <w:rFonts w:hint="eastAsia" w:ascii="宋体" w:hAnsi="宋体"/>
                <w:sz w:val="18"/>
                <w:szCs w:val="18"/>
                <w:lang w:eastAsia="zh-CN"/>
              </w:rPr>
              <w:t>中年级阅读方法训练</w:t>
            </w:r>
          </w:p>
        </w:tc>
        <w:tc>
          <w:tcPr>
            <w:tcW w:w="900" w:type="dxa"/>
            <w:vAlign w:val="top"/>
          </w:tcPr>
          <w:p>
            <w:pPr>
              <w:spacing w:line="360" w:lineRule="auto"/>
              <w:rPr>
                <w:rFonts w:hint="eastAsia" w:ascii="宋体" w:hAnsi="宋体"/>
                <w:sz w:val="24"/>
              </w:rPr>
            </w:pPr>
            <w:r>
              <w:rPr>
                <w:rFonts w:hint="eastAsia" w:ascii="宋体" w:hAnsi="宋体"/>
                <w:sz w:val="24"/>
              </w:rPr>
              <w:t>学科</w:t>
            </w:r>
          </w:p>
        </w:tc>
        <w:tc>
          <w:tcPr>
            <w:tcW w:w="1512" w:type="dxa"/>
            <w:vAlign w:val="top"/>
          </w:tcPr>
          <w:p>
            <w:pPr>
              <w:spacing w:line="360" w:lineRule="auto"/>
              <w:rPr>
                <w:rFonts w:hint="eastAsia" w:ascii="宋体" w:hAnsi="宋体" w:eastAsia="宋体"/>
                <w:sz w:val="24"/>
                <w:lang w:eastAsia="zh-CN"/>
              </w:rPr>
            </w:pPr>
            <w:r>
              <w:rPr>
                <w:rFonts w:hint="eastAsia" w:ascii="宋体" w:hAnsi="宋体"/>
                <w:sz w:val="24"/>
                <w:lang w:eastAsia="zh-CN"/>
              </w:rPr>
              <w:t>语文</w:t>
            </w:r>
          </w:p>
        </w:tc>
        <w:tc>
          <w:tcPr>
            <w:tcW w:w="938" w:type="dxa"/>
            <w:vAlign w:val="top"/>
          </w:tcPr>
          <w:p>
            <w:pPr>
              <w:spacing w:line="360" w:lineRule="auto"/>
              <w:rPr>
                <w:rFonts w:hint="eastAsia" w:ascii="宋体" w:hAnsi="宋体"/>
                <w:sz w:val="24"/>
              </w:rPr>
            </w:pPr>
            <w:r>
              <w:rPr>
                <w:rFonts w:hint="eastAsia" w:ascii="宋体" w:hAnsi="宋体"/>
                <w:sz w:val="24"/>
              </w:rPr>
              <w:t>地点</w:t>
            </w:r>
          </w:p>
        </w:tc>
        <w:tc>
          <w:tcPr>
            <w:tcW w:w="2004" w:type="dxa"/>
            <w:vAlign w:val="top"/>
          </w:tcPr>
          <w:p>
            <w:pPr>
              <w:spacing w:line="360" w:lineRule="auto"/>
              <w:rPr>
                <w:rFonts w:hint="eastAsia" w:ascii="宋体" w:hAnsi="宋体" w:eastAsia="宋体"/>
                <w:sz w:val="24"/>
                <w:lang w:eastAsia="zh-CN"/>
              </w:rPr>
            </w:pPr>
            <w:r>
              <w:rPr>
                <w:rFonts w:hint="eastAsia" w:ascii="宋体" w:hAnsi="宋体"/>
                <w:sz w:val="24"/>
                <w:lang w:eastAsia="zh-CN"/>
              </w:rPr>
              <w:t>四楼会议室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242" w:type="dxa"/>
            <w:vAlign w:val="top"/>
          </w:tcPr>
          <w:p>
            <w:pPr>
              <w:spacing w:line="360" w:lineRule="auto"/>
              <w:rPr>
                <w:rFonts w:hint="eastAsia" w:ascii="宋体" w:hAnsi="宋体"/>
                <w:sz w:val="24"/>
              </w:rPr>
            </w:pPr>
            <w:r>
              <w:rPr>
                <w:rFonts w:hint="eastAsia" w:ascii="宋体" w:hAnsi="宋体"/>
                <w:sz w:val="24"/>
              </w:rPr>
              <w:t>主讲者</w:t>
            </w:r>
          </w:p>
        </w:tc>
        <w:tc>
          <w:tcPr>
            <w:tcW w:w="1926" w:type="dxa"/>
            <w:vAlign w:val="top"/>
          </w:tcPr>
          <w:p>
            <w:pPr>
              <w:spacing w:line="360" w:lineRule="auto"/>
              <w:rPr>
                <w:rFonts w:hint="eastAsia" w:ascii="宋体" w:hAnsi="宋体" w:eastAsia="宋体"/>
                <w:sz w:val="24"/>
                <w:lang w:eastAsia="zh-CN"/>
              </w:rPr>
            </w:pPr>
            <w:r>
              <w:rPr>
                <w:rFonts w:hint="eastAsia" w:ascii="宋体" w:hAnsi="宋体"/>
                <w:sz w:val="24"/>
                <w:lang w:eastAsia="zh-CN"/>
              </w:rPr>
              <w:t>莫娇</w:t>
            </w:r>
          </w:p>
        </w:tc>
        <w:tc>
          <w:tcPr>
            <w:tcW w:w="900" w:type="dxa"/>
            <w:vAlign w:val="top"/>
          </w:tcPr>
          <w:p>
            <w:pPr>
              <w:spacing w:line="360" w:lineRule="auto"/>
              <w:rPr>
                <w:rFonts w:hint="eastAsia" w:ascii="宋体" w:hAnsi="宋体"/>
                <w:sz w:val="24"/>
              </w:rPr>
            </w:pPr>
            <w:r>
              <w:rPr>
                <w:rFonts w:hint="eastAsia" w:ascii="宋体" w:hAnsi="宋体"/>
                <w:sz w:val="24"/>
              </w:rPr>
              <w:t>日期</w:t>
            </w:r>
          </w:p>
        </w:tc>
        <w:tc>
          <w:tcPr>
            <w:tcW w:w="1512" w:type="dxa"/>
            <w:vAlign w:val="top"/>
          </w:tcPr>
          <w:p>
            <w:pPr>
              <w:spacing w:line="360" w:lineRule="auto"/>
              <w:rPr>
                <w:rFonts w:hint="eastAsia" w:ascii="宋体" w:hAnsi="宋体" w:eastAsia="宋体"/>
                <w:sz w:val="24"/>
                <w:lang w:val="en-US" w:eastAsia="zh-CN"/>
              </w:rPr>
            </w:pPr>
            <w:r>
              <w:rPr>
                <w:rFonts w:hint="eastAsia" w:ascii="宋体" w:hAnsi="宋体"/>
                <w:sz w:val="24"/>
                <w:lang w:val="en-US" w:eastAsia="zh-CN"/>
              </w:rPr>
              <w:t>9.26</w:t>
            </w:r>
          </w:p>
        </w:tc>
        <w:tc>
          <w:tcPr>
            <w:tcW w:w="938" w:type="dxa"/>
            <w:vAlign w:val="top"/>
          </w:tcPr>
          <w:p>
            <w:pPr>
              <w:spacing w:line="360" w:lineRule="auto"/>
              <w:rPr>
                <w:rFonts w:hint="eastAsia" w:ascii="宋体" w:hAnsi="宋体"/>
                <w:sz w:val="24"/>
              </w:rPr>
            </w:pPr>
            <w:r>
              <w:rPr>
                <w:rFonts w:hint="eastAsia" w:ascii="宋体" w:hAnsi="宋体"/>
                <w:sz w:val="24"/>
              </w:rPr>
              <w:t>学校</w:t>
            </w:r>
          </w:p>
        </w:tc>
        <w:tc>
          <w:tcPr>
            <w:tcW w:w="2004" w:type="dxa"/>
            <w:vAlign w:val="top"/>
          </w:tcPr>
          <w:p>
            <w:pPr>
              <w:spacing w:line="360" w:lineRule="auto"/>
              <w:rPr>
                <w:rFonts w:hint="eastAsia" w:ascii="宋体" w:hAnsi="宋体"/>
                <w:sz w:val="24"/>
              </w:rPr>
            </w:pPr>
            <w:r>
              <w:rPr>
                <w:rFonts w:hint="eastAsia" w:ascii="宋体" w:hAnsi="宋体"/>
                <w:sz w:val="24"/>
              </w:rPr>
              <w:t>武进区花园小学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030" w:hRule="atLeast"/>
        </w:trPr>
        <w:tc>
          <w:tcPr>
            <w:tcW w:w="8522" w:type="dxa"/>
            <w:gridSpan w:val="6"/>
            <w:vAlign w:val="top"/>
          </w:tcPr>
          <w:p>
            <w:pPr>
              <w:spacing w:line="500" w:lineRule="exact"/>
              <w:rPr>
                <w:rFonts w:hint="eastAsia"/>
                <w:sz w:val="24"/>
              </w:rPr>
            </w:pPr>
            <w:r>
              <w:rPr>
                <w:rFonts w:hint="eastAsia"/>
                <w:sz w:val="24"/>
              </w:rPr>
              <w:t>学习讨论记录</w:t>
            </w:r>
          </w:p>
          <w:p>
            <w:pPr>
              <w:numPr>
                <w:ilvl w:val="0"/>
                <w:numId w:val="1"/>
              </w:numPr>
              <w:spacing w:line="500" w:lineRule="exact"/>
              <w:jc w:val="left"/>
              <w:rPr>
                <w:rFonts w:hint="eastAsia"/>
                <w:sz w:val="24"/>
              </w:rPr>
            </w:pPr>
            <w:r>
              <w:rPr>
                <w:rFonts w:hint="eastAsia"/>
                <w:sz w:val="24"/>
              </w:rPr>
              <w:t xml:space="preserve">培养学生预习课文段落。  </w:t>
            </w:r>
          </w:p>
          <w:p>
            <w:pPr>
              <w:numPr>
                <w:numId w:val="0"/>
              </w:numPr>
              <w:spacing w:line="500" w:lineRule="exact"/>
              <w:ind w:firstLine="480" w:firstLineChars="200"/>
              <w:jc w:val="left"/>
              <w:rPr>
                <w:rFonts w:hint="eastAsia"/>
                <w:sz w:val="24"/>
              </w:rPr>
            </w:pPr>
            <w:r>
              <w:rPr>
                <w:rFonts w:hint="eastAsia"/>
                <w:sz w:val="24"/>
              </w:rPr>
              <w:t>学生刚上三年级，不会预习，我先把预习纳入首要任务带入课堂，集中上好预习指导课，教给学生预习方法：1、读熟课文，要求达到正确、流利地朗读课文；2、边读边想，读后能比较准确地回答出课文段落的主要内容；3、要借助字典词典认字，理解词语。 随着阅读训练项目的进行，预习要求也相应提高，在上述训练的基础上，再给学生布置方向性预习提纲，让学生有循可依，有的放矢，使预习由扶持向放手过渡转变。       </w:t>
            </w:r>
          </w:p>
          <w:p>
            <w:pPr>
              <w:numPr>
                <w:ilvl w:val="0"/>
                <w:numId w:val="1"/>
              </w:numPr>
              <w:spacing w:line="500" w:lineRule="exact"/>
              <w:jc w:val="left"/>
              <w:rPr>
                <w:rFonts w:hint="eastAsia"/>
                <w:sz w:val="24"/>
              </w:rPr>
            </w:pPr>
            <w:r>
              <w:rPr>
                <w:rFonts w:hint="eastAsia"/>
                <w:sz w:val="24"/>
              </w:rPr>
              <w:t xml:space="preserve">指导学生通读课文段落。  </w:t>
            </w:r>
          </w:p>
          <w:p>
            <w:pPr>
              <w:numPr>
                <w:numId w:val="0"/>
              </w:numPr>
              <w:spacing w:line="500" w:lineRule="exact"/>
              <w:ind w:firstLine="480" w:firstLineChars="200"/>
              <w:jc w:val="left"/>
              <w:rPr>
                <w:rFonts w:hint="eastAsia"/>
                <w:sz w:val="24"/>
              </w:rPr>
            </w:pPr>
            <w:r>
              <w:rPr>
                <w:rFonts w:hint="eastAsia"/>
                <w:sz w:val="24"/>
              </w:rPr>
              <w:t>在段落的理解过程中，通读是理解的基础，读懂文章段落内容，要循序渐进，由易到难，由浅入深。不要操之过急，囫囵吞枣，要一步一步地指导学生读下去。为了达到过程得当，理解得顺，理解得深的要求，必须抓好以下三个环节。 1、让学生自读全文。尽量读出“顺”字。要求读准字音，特别是生字、新词；读时要注意语气和声调；要做到有速度、要流利地把课文读下来。  2、要加深理解。要突出“义”字，要把学生的认知过程和学习语文的过程有机地结合起来，指导学生从语言文字入手，理解字、词、句、段和篇章的思想内容，让学生经历了从具体到抽象，又从抽象到具体的心理历程。课前要求教师要精心设计每一个问题，要做到环环紧扣，衔接得当。以启发学生的思路。对于重点的句子和段落,要让学生在熟读的基础上,通过讲读，讨论与交流的方式,使学生逐渐掌握了学习方法.  3、要求熟读。要加强指导学生反复诵读，乃至熟读成诵。这样使学生渐渐地体会课文所表达的意思,能有感情的朗颂课文。 </w:t>
            </w:r>
          </w:p>
          <w:p>
            <w:pPr>
              <w:numPr>
                <w:ilvl w:val="0"/>
                <w:numId w:val="1"/>
              </w:numPr>
              <w:spacing w:line="500" w:lineRule="exact"/>
              <w:jc w:val="left"/>
              <w:rPr>
                <w:rFonts w:hint="eastAsia"/>
                <w:sz w:val="24"/>
              </w:rPr>
            </w:pPr>
            <w:r>
              <w:rPr>
                <w:rFonts w:hint="eastAsia"/>
                <w:sz w:val="24"/>
              </w:rPr>
              <w:t>鼓励学生试说段落大意。     </w:t>
            </w:r>
          </w:p>
          <w:p>
            <w:pPr>
              <w:numPr>
                <w:numId w:val="0"/>
              </w:numPr>
              <w:spacing w:line="500" w:lineRule="exact"/>
              <w:jc w:val="left"/>
              <w:rPr>
                <w:rFonts w:hint="eastAsia"/>
                <w:sz w:val="24"/>
              </w:rPr>
            </w:pPr>
            <w:r>
              <w:rPr>
                <w:rFonts w:hint="eastAsia"/>
                <w:sz w:val="24"/>
              </w:rPr>
              <w:t> </w:t>
            </w:r>
            <w:r>
              <w:rPr>
                <w:rFonts w:hint="eastAsia"/>
                <w:sz w:val="24"/>
                <w:lang w:val="en-US" w:eastAsia="zh-CN"/>
              </w:rPr>
              <w:t xml:space="preserve">    </w:t>
            </w:r>
            <w:r>
              <w:rPr>
                <w:rFonts w:hint="eastAsia"/>
                <w:sz w:val="24"/>
              </w:rPr>
              <w:t xml:space="preserve">说出段意是在通读段落之后进行的，要使学生能够用自己的话表达对段落思想内容的理解，能把课文语言转化为学生自己的个性语言，并对课文语言进行同化，难度相当大。为了达到这一目的，刚开始说段训练时,部分学生只会用接近原文的句子来复述甚至是背原文的形式说出段意,部分学生就连原文也不会说。针对这种状况，我具体指导学生把段落中各句意思先说,然后,把整段话的意思连起来说。在指导段落意思表达时，还要注意把概括地说和具体地说有机结合起来.关于段落中人物的语言、神态、心理活动等描写，都可以联系课文内容，让学生大胆地去想象，去表达。在教学过程中，要尽量避免能说的就不写，能写的就不读那种重复啰嗦的尴尬境地。这样才能真正地培养了学生的想象力，大大地提高学生的语言表达能力。   </w:t>
            </w:r>
          </w:p>
          <w:p>
            <w:pPr>
              <w:numPr>
                <w:ilvl w:val="0"/>
                <w:numId w:val="1"/>
              </w:numPr>
              <w:spacing w:line="500" w:lineRule="exact"/>
              <w:jc w:val="left"/>
              <w:rPr>
                <w:rFonts w:hint="eastAsia"/>
                <w:sz w:val="24"/>
              </w:rPr>
            </w:pPr>
            <w:r>
              <w:rPr>
                <w:rFonts w:hint="eastAsia"/>
                <w:sz w:val="24"/>
              </w:rPr>
              <w:t xml:space="preserve">加强学生词句段的训练 。  </w:t>
            </w:r>
          </w:p>
          <w:p>
            <w:pPr>
              <w:spacing w:line="500" w:lineRule="exact"/>
              <w:ind w:firstLine="480" w:firstLineChars="200"/>
              <w:rPr>
                <w:rFonts w:hint="eastAsia"/>
                <w:sz w:val="24"/>
              </w:rPr>
            </w:pPr>
            <w:bookmarkStart w:id="0" w:name="_GoBack"/>
            <w:bookmarkEnd w:id="0"/>
            <w:r>
              <w:rPr>
                <w:rFonts w:hint="eastAsia"/>
                <w:sz w:val="24"/>
              </w:rPr>
              <w:t>词语的理解，句子的连接，是写好段的前提条件。  首先要加强词语训练。三年级学生，有较好的字词基础，课文里遇到的，多数是熟悉的词语，但这些词语，在具体语言环境中该怎样深入地理解，应是三年级进行词语训练的重点。在教学时，我引导学生抓住这些在字面上易理解的词语，引导学生结合课文中的语言环境，读懂这些词在文章中表达的深刻含义。  其次要加强句子训练。三年级阅读教学，要抓住文章中含义深刻、结构复杂、难理解的句子进行训练，以便更好地理解课文。理解了关键词语，再理解全句。 指导学生读懂总起句和过渡句的意义和在文章中的作用。  最后要加强段的训练。 集中识字后的阅读教材是按单元分组的形式编写的。教学时，要抓住本单元本组的训练重点，以精读带略读，以课内带课外，以一篇带多篇，有重点地、有计划地训练学生，逐步提高独立阅读能力。</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5F0EC"/>
    <w:multiLevelType w:val="singleLevel"/>
    <w:tmpl w:val="59E5F0E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05585"/>
    <w:rsid w:val="26105585"/>
    <w:rsid w:val="7E5A7C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2017-10-17T11:26:00Z</dcterms:created>
  <dc:creator>Administrator</dc:creator>
  <cp:lastModifiedBy>Administrator</cp:lastModifiedBy>
  <dcterms:modified xsi:type="dcterms:W3CDTF">2017-10-17T11:51:36Z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