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6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Layout w:type="fixed"/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4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4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5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5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5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5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0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0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4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4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优秀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初次接触文言文，最难的还是句读和节奏，而</w:t>
            </w:r>
            <w:r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朱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老师通过逐步出示生字、词语、短语、句子这种方式巧妙地引导学生渡过难关，例如“持—持石—持石击瓮—持石击瓮破之—光持石击瓮破之”，这样一一指名学生认读，让学生从易到难的有节奏的读完整句，符合三年级学生的认知特点和思维特点，老师成为学习最好的“摆渡人”。</w:t>
            </w:r>
          </w:p>
          <w:p>
            <w:pPr>
              <w:pStyle w:val="7"/>
              <w:snapToGrid w:val="0"/>
              <w:spacing w:line="300" w:lineRule="auto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00" w:lineRule="auto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《司马光》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default" w:asciiTheme="minorEastAsia" w:hAnsiTheme="minorEastAsia" w:eastAsiaTheme="minorEastAsia"/>
          <w:b/>
          <w:sz w:val="21"/>
          <w:szCs w:val="21"/>
        </w:rPr>
        <w:t>三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hint="default" w:asciiTheme="minorEastAsia" w:hAnsiTheme="minorEastAsia" w:eastAsiaTheme="minorEastAsia"/>
          <w:b/>
          <w:sz w:val="21"/>
          <w:szCs w:val="21"/>
        </w:rPr>
        <w:t>朱妍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default" w:asciiTheme="minorEastAsia" w:hAnsiTheme="minorEastAsia" w:eastAsiaTheme="minorEastAsia"/>
          <w:b/>
          <w:sz w:val="21"/>
          <w:szCs w:val="21"/>
        </w:rPr>
        <w:t>杨帆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default" w:asciiTheme="minorEastAsia" w:hAnsiTheme="minorEastAsia" w:eastAsiaTheme="minorEastAsia"/>
          <w:b/>
          <w:sz w:val="21"/>
          <w:szCs w:val="21"/>
        </w:rPr>
        <w:t>2019.12.18</w:t>
      </w:r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NotTrackMoves/>
  <w:documentProtection w:enforcement="0"/>
  <w:defaultTabStop w:val="720"/>
  <w:autoHyphenation/>
  <w:drawingGridHorizontalSpacing w:val="10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F1A3811"/>
    <w:rsid w:val="2E737D40"/>
    <w:rsid w:val="4A923594"/>
    <w:rsid w:val="4FEFDD4E"/>
    <w:rsid w:val="78FFB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ScaleCrop>false</ScaleCrop>
  <LinksUpToDate>false</LinksUpToDate>
  <CharactersWithSpaces>667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2017-07-20T17:35:00Z</dcterms:created>
  <dc:creator>Administrator</dc:creator>
  <cp:lastModifiedBy>zhuyan</cp:lastModifiedBy>
  <cp:lastPrinted>2017-07-20T03:01:00Z</cp:lastPrinted>
  <dcterms:modified xsi:type="dcterms:W3CDTF">2020-01-15T10:08:39Z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