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  <w:lang w:eastAsia="zh-CN"/>
        </w:rPr>
        <w:t>武实小分校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灵动课堂教学评价表（语文）</w:t>
      </w:r>
    </w:p>
    <w:p>
      <w:pPr>
        <w:pStyle w:val="7"/>
        <w:snapToGrid w:val="0"/>
        <w:spacing w:line="360" w:lineRule="auto"/>
        <w:ind w:left="105" w:leftChars="50" w:right="105" w:rightChars="50"/>
        <w:jc w:val="center"/>
        <w:rPr>
          <w:rFonts w:asciiTheme="minorEastAsia" w:hAnsiTheme="minorEastAsia" w:eastAsiaTheme="minorEastAsia"/>
          <w:b/>
          <w:sz w:val="10"/>
          <w:szCs w:val="10"/>
        </w:rPr>
      </w:pPr>
    </w:p>
    <w:tbl>
      <w:tblPr>
        <w:tblStyle w:val="5"/>
        <w:tblpPr w:rightFromText="2100" w:topFromText="30" w:vertAnchor="text" w:horzAnchor="margin" w:tblpXSpec="center" w:tblpY="458"/>
        <w:tblW w:w="9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128"/>
        <w:gridCol w:w="4807"/>
        <w:gridCol w:w="695"/>
        <w:gridCol w:w="694"/>
        <w:gridCol w:w="666"/>
        <w:gridCol w:w="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</w:t>
            </w:r>
          </w:p>
          <w:p>
            <w:pPr>
              <w:pStyle w:val="7"/>
              <w:snapToGrid w:val="0"/>
              <w:spacing w:line="300" w:lineRule="auto"/>
              <w:ind w:firstLine="1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维度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评价内容</w:t>
            </w:r>
          </w:p>
        </w:tc>
        <w:tc>
          <w:tcPr>
            <w:tcW w:w="4807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价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点</w:t>
            </w:r>
          </w:p>
        </w:tc>
        <w:tc>
          <w:tcPr>
            <w:tcW w:w="2729" w:type="dxa"/>
            <w:gridSpan w:val="4"/>
            <w:vAlign w:val="bottom"/>
          </w:tcPr>
          <w:p>
            <w:pPr>
              <w:pStyle w:val="7"/>
              <w:snapToGrid w:val="0"/>
              <w:spacing w:line="300" w:lineRule="auto"/>
              <w:ind w:firstLine="228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项目要点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99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128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4807" w:type="dxa"/>
            <w:vMerge w:val="continue"/>
            <w:vAlign w:val="bottom"/>
          </w:tcPr>
          <w:p>
            <w:pPr>
              <w:pStyle w:val="7"/>
              <w:snapToGrid w:val="0"/>
              <w:spacing w:line="300" w:lineRule="auto"/>
              <w:ind w:firstLine="261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695" w:type="dxa"/>
            <w:vAlign w:val="bottom"/>
          </w:tcPr>
          <w:p>
            <w:pPr>
              <w:pStyle w:val="7"/>
              <w:snapToGrid w:val="0"/>
              <w:spacing w:line="300" w:lineRule="auto"/>
              <w:ind w:left="-44" w:leftChars="-21" w:firstLine="3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优</w:t>
            </w:r>
          </w:p>
          <w:p>
            <w:pPr>
              <w:pStyle w:val="7"/>
              <w:snapToGrid w:val="0"/>
              <w:spacing w:line="300" w:lineRule="auto"/>
              <w:ind w:left="-44" w:leftChars="-21" w:firstLine="143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秀</w:t>
            </w:r>
          </w:p>
        </w:tc>
        <w:tc>
          <w:tcPr>
            <w:tcW w:w="694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良</w:t>
            </w:r>
          </w:p>
          <w:p>
            <w:pPr>
              <w:pStyle w:val="7"/>
              <w:snapToGrid w:val="0"/>
              <w:spacing w:line="300" w:lineRule="auto"/>
              <w:ind w:firstLine="39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好</w:t>
            </w:r>
          </w:p>
        </w:tc>
        <w:tc>
          <w:tcPr>
            <w:tcW w:w="666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spacing w:line="300" w:lineRule="auto"/>
              <w:ind w:firstLine="5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  <w:tc>
          <w:tcPr>
            <w:tcW w:w="674" w:type="dxa"/>
            <w:vAlign w:val="bottom"/>
          </w:tcPr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不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合</w:t>
            </w:r>
          </w:p>
          <w:p>
            <w:pPr>
              <w:pStyle w:val="7"/>
              <w:snapToGrid w:val="0"/>
              <w:ind w:hanging="17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精神状态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教师情绪饱满，教态亲切，注意习惯的培养，</w:t>
            </w:r>
          </w:p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语言有感染力、启发性、激励性和多样性。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exac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42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师生关系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师生能感受到相互尊重。课堂气氛融洽，学生学</w:t>
            </w:r>
          </w:p>
          <w:p>
            <w:pPr>
              <w:pStyle w:val="7"/>
              <w:snapToGrid w:val="0"/>
              <w:spacing w:line="300" w:lineRule="auto"/>
              <w:ind w:firstLine="198" w:firstLineChars="94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有兴趣，求知欲强。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情感体验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教师教有所悟，学生学有所感，能获得人文启迪</w:t>
            </w:r>
          </w:p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或精神陶冶。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教材扩展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教师能合理找到教材的延伸点，对教材有独特的</w:t>
            </w:r>
          </w:p>
          <w:p>
            <w:pPr>
              <w:pStyle w:val="7"/>
              <w:snapToGrid w:val="0"/>
              <w:spacing w:line="300" w:lineRule="auto"/>
              <w:ind w:firstLine="186" w:firstLineChars="88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理解，努力体现言语意识和积累意识。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教学设计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由浅入深、层层深入，深入浅出，环环相扣，体</w:t>
            </w:r>
          </w:p>
          <w:p>
            <w:pPr>
              <w:pStyle w:val="7"/>
              <w:snapToGrid w:val="0"/>
              <w:spacing w:line="300" w:lineRule="auto"/>
              <w:ind w:firstLine="204" w:firstLineChars="97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现语文学科的特色，有艺术性、有针对性。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70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课堂实施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有效运用多种手段沟通与生活的联系。课堂有容</w:t>
            </w:r>
          </w:p>
          <w:p>
            <w:pPr>
              <w:pStyle w:val="7"/>
              <w:snapToGrid w:val="0"/>
              <w:spacing w:line="300" w:lineRule="auto"/>
              <w:ind w:firstLine="211" w:firstLineChars="10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量，有深度，有广度，有实效。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998" w:type="dxa"/>
            <w:vMerge w:val="restart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发展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30</w:t>
            </w: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学生参与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全体参与，全程参与，实现参与“面”和参与“量”</w:t>
            </w:r>
          </w:p>
          <w:p>
            <w:pPr>
              <w:pStyle w:val="7"/>
              <w:snapToGrid w:val="0"/>
              <w:spacing w:line="300" w:lineRule="auto"/>
              <w:ind w:firstLine="105" w:firstLineChars="50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的最大化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998" w:type="dxa"/>
            <w:vMerge w:val="continue"/>
            <w:vAlign w:val="center"/>
          </w:tcPr>
          <w:p>
            <w:pPr>
              <w:pStyle w:val="7"/>
              <w:snapToGrid w:val="0"/>
              <w:spacing w:line="300" w:lineRule="auto"/>
              <w:ind w:firstLine="54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学习能力</w:t>
            </w:r>
          </w:p>
        </w:tc>
        <w:tc>
          <w:tcPr>
            <w:tcW w:w="4807" w:type="dxa"/>
            <w:vAlign w:val="bottom"/>
          </w:tcPr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语言表达完整、丰富、灵活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具有感染力；思维</w:t>
            </w:r>
          </w:p>
          <w:p>
            <w:pPr>
              <w:pStyle w:val="7"/>
              <w:snapToGrid w:val="0"/>
              <w:spacing w:line="300" w:lineRule="auto"/>
              <w:ind w:firstLine="215" w:firstLineChars="102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活跃、深刻，</w:t>
            </w:r>
            <w:r>
              <w:rPr>
                <w:rFonts w:hint="eastAsia" w:cs="Arial" w:asciiTheme="minorEastAsia" w:hAnsiTheme="minorEastAsia" w:eastAsiaTheme="minorEastAsia"/>
                <w:b/>
                <w:sz w:val="21"/>
                <w:szCs w:val="21"/>
              </w:rPr>
              <w:t>且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有独特见解。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课堂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特色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10</w:t>
            </w:r>
          </w:p>
        </w:tc>
        <w:tc>
          <w:tcPr>
            <w:tcW w:w="5935" w:type="dxa"/>
            <w:gridSpan w:val="2"/>
            <w:vAlign w:val="center"/>
          </w:tcPr>
          <w:p>
            <w:pPr>
              <w:pStyle w:val="7"/>
              <w:snapToGrid w:val="0"/>
              <w:spacing w:line="300" w:lineRule="auto"/>
              <w:ind w:left="216" w:leftChars="103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整堂课教学设计合理、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巧妙，有突出的个人教学风格，形成特色的语文课堂教学文化。</w:t>
            </w:r>
          </w:p>
        </w:tc>
        <w:tc>
          <w:tcPr>
            <w:tcW w:w="695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√</w:t>
            </w:r>
          </w:p>
        </w:tc>
        <w:tc>
          <w:tcPr>
            <w:tcW w:w="69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66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  <w:tc>
          <w:tcPr>
            <w:tcW w:w="674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exac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b/>
                <w:sz w:val="21"/>
                <w:szCs w:val="21"/>
              </w:rPr>
              <w:t>总评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  <w:u w:val="single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                                    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 xml:space="preserve">       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等级：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  <w:lang w:eastAsia="zh-CN"/>
              </w:rPr>
              <w:t>优秀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  </w:t>
            </w:r>
            <w:r>
              <w:rPr>
                <w:rFonts w:asciiTheme="minorEastAsia" w:hAnsiTheme="minorEastAsia" w:eastAsiaTheme="minorEastAsia"/>
                <w:b/>
                <w:sz w:val="21"/>
                <w:szCs w:val="21"/>
                <w:u w:val="single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998" w:type="dxa"/>
            <w:vAlign w:val="center"/>
          </w:tcPr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评价与</w:t>
            </w:r>
          </w:p>
          <w:p>
            <w:pPr>
              <w:pStyle w:val="7"/>
              <w:snapToGrid w:val="0"/>
              <w:spacing w:line="300" w:lineRule="auto"/>
              <w:ind w:firstLine="42"/>
              <w:jc w:val="center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szCs w:val="21"/>
              </w:rPr>
              <w:t>建议</w:t>
            </w:r>
          </w:p>
        </w:tc>
        <w:tc>
          <w:tcPr>
            <w:tcW w:w="8664" w:type="dxa"/>
            <w:gridSpan w:val="6"/>
            <w:vAlign w:val="bottom"/>
          </w:tcPr>
          <w:p>
            <w:pPr>
              <w:pStyle w:val="7"/>
              <w:snapToGrid w:val="0"/>
              <w:spacing w:line="300" w:lineRule="auto"/>
              <w:ind w:left="6" w:hanging="6" w:hangingChars="3"/>
              <w:jc w:val="both"/>
              <w:rPr>
                <w:rFonts w:asciiTheme="minorEastAsia" w:hAnsiTheme="minorEastAsia" w:eastAsiaTheme="minorEastAsia" w:cstheme="minorBidi"/>
                <w:b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default" w:asciiTheme="minorEastAsia" w:hAnsiTheme="minorEastAsia" w:eastAsiaTheme="minorEastAsia" w:cstheme="minorBidi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教学设计板块清晰，从导入到预习检测，到理清脉络，最后到精读第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1段。每个环节的过渡自然，层层推进。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在理清文章脉络的环节中抓住了小说的要素——人物及事件。在相识、相处、离别中又紧扣相处的场景，引导让学生用小标题的形式读中梳理概括四件新鲜事，并借助插图，图文对照，想象场景，感受闰土的人物形象。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评价人：赵珊</w:t>
            </w:r>
          </w:p>
        </w:tc>
      </w:tr>
    </w:tbl>
    <w:p>
      <w:pPr>
        <w:pStyle w:val="7"/>
        <w:snapToGrid w:val="0"/>
        <w:spacing w:line="360" w:lineRule="auto"/>
        <w:ind w:left="105" w:leftChars="50" w:right="105" w:rightChars="50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/>
          <w:b/>
          <w:sz w:val="21"/>
          <w:szCs w:val="21"/>
        </w:rPr>
        <w:t>课题：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少年闰土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年级：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六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授课人：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陆彩虹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评课人：</w:t>
      </w:r>
      <w:r>
        <w:rPr>
          <w:rFonts w:hint="eastAsia" w:asciiTheme="minorEastAsia" w:hAnsiTheme="minorEastAsia" w:eastAsiaTheme="minorEastAsia"/>
          <w:b/>
          <w:sz w:val="21"/>
          <w:szCs w:val="21"/>
          <w:lang w:eastAsia="zh-CN"/>
        </w:rPr>
        <w:t>赵珊</w:t>
      </w:r>
      <w:bookmarkStart w:id="0" w:name="_GoBack"/>
      <w:bookmarkEnd w:id="0"/>
      <w:r>
        <w:rPr>
          <w:rFonts w:asciiTheme="minorEastAsia" w:hAnsiTheme="minorEastAsia" w:eastAsiaTheme="minorEastAsia"/>
          <w:b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/>
          <w:b/>
          <w:sz w:val="21"/>
          <w:szCs w:val="21"/>
        </w:rPr>
        <w:t>日期：</w:t>
      </w:r>
      <w:r>
        <w:rPr>
          <w:rFonts w:hint="eastAsia" w:asciiTheme="minorEastAsia" w:hAnsiTheme="minorEastAsia" w:eastAsiaTheme="minorEastAsia"/>
          <w:b/>
          <w:sz w:val="21"/>
          <w:szCs w:val="21"/>
          <w:lang w:val="en-US" w:eastAsia="zh-CN"/>
        </w:rPr>
        <w:t>11.19</w:t>
      </w:r>
      <w:r>
        <w:rPr>
          <w:rFonts w:asciiTheme="minorEastAsia" w:hAnsiTheme="minorEastAsia" w:eastAsiaTheme="minorEastAsia"/>
          <w:b/>
          <w:sz w:val="21"/>
          <w:szCs w:val="21"/>
        </w:rPr>
        <w:t xml:space="preserve">      </w:t>
      </w:r>
    </w:p>
    <w:sectPr>
      <w:type w:val="continuous"/>
      <w:pgSz w:w="11907" w:h="16839"/>
      <w:pgMar w:top="1276" w:right="1797" w:bottom="1134" w:left="1797" w:header="720" w:footer="720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32"/>
    <w:rsid w:val="00045870"/>
    <w:rsid w:val="00057B2A"/>
    <w:rsid w:val="00162AC1"/>
    <w:rsid w:val="001E60D9"/>
    <w:rsid w:val="002B0728"/>
    <w:rsid w:val="002D3FBD"/>
    <w:rsid w:val="002F7EC0"/>
    <w:rsid w:val="003026A6"/>
    <w:rsid w:val="003B5B4D"/>
    <w:rsid w:val="004C7B42"/>
    <w:rsid w:val="00573611"/>
    <w:rsid w:val="006550A7"/>
    <w:rsid w:val="00660732"/>
    <w:rsid w:val="00757E85"/>
    <w:rsid w:val="00790E5F"/>
    <w:rsid w:val="00791229"/>
    <w:rsid w:val="00897907"/>
    <w:rsid w:val="008F7E0B"/>
    <w:rsid w:val="009A6B0A"/>
    <w:rsid w:val="009B0085"/>
    <w:rsid w:val="00C16957"/>
    <w:rsid w:val="00CE1068"/>
    <w:rsid w:val="00EE22CB"/>
    <w:rsid w:val="00FC31EC"/>
    <w:rsid w:val="00FD4CD4"/>
    <w:rsid w:val="0AA274FF"/>
    <w:rsid w:val="0F1A3811"/>
    <w:rsid w:val="2E737D40"/>
    <w:rsid w:val="3820530C"/>
    <w:rsid w:val="4A9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sz w:val="24"/>
      <w:szCs w:val="24"/>
      <w:lang w:val="en-US" w:eastAsia="zh-CN" w:bidi="ar-SA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99</Words>
  <Characters>569</Characters>
  <Lines>4</Lines>
  <Paragraphs>1</Paragraphs>
  <TotalTime>1</TotalTime>
  <ScaleCrop>false</ScaleCrop>
  <LinksUpToDate>false</LinksUpToDate>
  <CharactersWithSpaces>667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2017-07-20T01:35:00Z</dcterms:created>
  <dc:creator>Administrator</dc:creator>
  <cp:lastModifiedBy>Administrator</cp:lastModifiedBy>
  <cp:lastPrinted>2017-07-19T11:01:00Z</cp:lastPrinted>
  <dcterms:modified xsi:type="dcterms:W3CDTF">2020-01-15T00:27:19Z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